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A33E76" w:rsidP="009B1152">
            <w:r>
              <w:t>В бумажн.виде – 1270</w:t>
            </w:r>
          </w:p>
          <w:p w:rsidR="009B1152" w:rsidRDefault="00A33E76" w:rsidP="009B1152">
            <w:r>
              <w:t>В электрон.виде – 820</w:t>
            </w:r>
          </w:p>
          <w:p w:rsidR="009B1152" w:rsidRDefault="009B1152" w:rsidP="008D7591">
            <w:pPr>
              <w:ind w:left="57"/>
            </w:pPr>
            <w:bookmarkStart w:id="0" w:name="_GoBack"/>
            <w:bookmarkEnd w:id="0"/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C705EB" w:rsidP="008D7591">
            <w:r w:rsidRPr="00C705EB">
              <w:t>платежное поручение - выписка из ЕГРН о переходе прав на объект недвижимости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62" w:rsidRDefault="00641F62">
      <w:r>
        <w:separator/>
      </w:r>
    </w:p>
  </w:endnote>
  <w:endnote w:type="continuationSeparator" w:id="0">
    <w:p w:rsidR="00641F62" w:rsidRDefault="006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41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41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41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62" w:rsidRDefault="00641F62">
      <w:r>
        <w:separator/>
      </w:r>
    </w:p>
  </w:footnote>
  <w:footnote w:type="continuationSeparator" w:id="0">
    <w:p w:rsidR="00641F62" w:rsidRDefault="0064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41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641F62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4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5E7EED"/>
    <w:rsid w:val="00641F62"/>
    <w:rsid w:val="0086435C"/>
    <w:rsid w:val="00887391"/>
    <w:rsid w:val="008C7CF0"/>
    <w:rsid w:val="008E1D0D"/>
    <w:rsid w:val="009B1152"/>
    <w:rsid w:val="00A33E76"/>
    <w:rsid w:val="00BB4ADC"/>
    <w:rsid w:val="00C705EB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bo1</cp:lastModifiedBy>
  <cp:revision>7</cp:revision>
  <dcterms:created xsi:type="dcterms:W3CDTF">2019-05-20T12:42:00Z</dcterms:created>
  <dcterms:modified xsi:type="dcterms:W3CDTF">2020-01-20T05:30:00Z</dcterms:modified>
</cp:coreProperties>
</file>